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39" w:rsidRPr="00691F39" w:rsidRDefault="00691F39" w:rsidP="00691F39">
      <w:pPr>
        <w:jc w:val="center"/>
        <w:rPr>
          <w:rFonts w:ascii="Orbitron" w:hAnsi="Orbitron" w:cs="Arial"/>
          <w:color w:val="000000"/>
          <w:sz w:val="32"/>
          <w:szCs w:val="32"/>
          <w:shd w:val="clear" w:color="auto" w:fill="FFFFFF"/>
        </w:rPr>
      </w:pPr>
      <w:r w:rsidRPr="00691F39">
        <w:rPr>
          <w:rFonts w:ascii="Orbitron" w:hAnsi="Orbitron" w:cs="Arial"/>
          <w:color w:val="000000"/>
          <w:sz w:val="32"/>
          <w:szCs w:val="32"/>
          <w:shd w:val="clear" w:color="auto" w:fill="FFFFFF"/>
        </w:rPr>
        <w:t>KOMPONEN PENGGUNAAN DANA BOS</w:t>
      </w:r>
    </w:p>
    <w:p w:rsidR="00691F39" w:rsidRDefault="00691F39" w:rsidP="00691F39">
      <w:pPr>
        <w:spacing w:after="0" w:line="240" w:lineRule="auto"/>
        <w:ind w:firstLine="720"/>
        <w:rPr>
          <w:rFonts w:ascii="Arial" w:hAnsi="Arial" w:cs="Arial"/>
          <w:color w:val="000000"/>
          <w:sz w:val="24"/>
          <w:szCs w:val="24"/>
        </w:rPr>
      </w:pPr>
      <w:r w:rsidRPr="00691F39">
        <w:rPr>
          <w:rFonts w:ascii="Arial" w:hAnsi="Arial" w:cs="Arial"/>
          <w:color w:val="000000"/>
          <w:sz w:val="24"/>
          <w:szCs w:val="24"/>
          <w:shd w:val="clear" w:color="auto" w:fill="FFFFFF"/>
        </w:rPr>
        <w:t>Kementerian Pendidikan, Kebudayaan, Riset, dan Teknologi (Kemendikbudristek) telah menetapkan daftar komponen yang dapat dibiayai dengan Dana BOS per 2022. Setidaknya terdapat 20 komponen yang terdiri dari dana Reguler dan Kinerja.</w:t>
      </w:r>
    </w:p>
    <w:p w:rsidR="00691F39" w:rsidRDefault="00691F39" w:rsidP="00691F39">
      <w:pPr>
        <w:spacing w:after="0" w:line="240" w:lineRule="auto"/>
        <w:ind w:firstLine="720"/>
        <w:rPr>
          <w:rFonts w:ascii="Arial" w:hAnsi="Arial" w:cs="Arial"/>
          <w:color w:val="000000"/>
          <w:sz w:val="24"/>
          <w:szCs w:val="24"/>
        </w:rPr>
      </w:pPr>
      <w:r w:rsidRPr="00691F39">
        <w:rPr>
          <w:rFonts w:ascii="Arial" w:hAnsi="Arial" w:cs="Arial"/>
          <w:color w:val="000000"/>
          <w:sz w:val="24"/>
          <w:szCs w:val="24"/>
          <w:shd w:val="clear" w:color="auto" w:fill="FFFFFF"/>
        </w:rPr>
        <w:t>Ketentuan ini tertuang dalam Permendikbudristek Nomor 2 Tahun 2022 tentang Petunjuk Teknis Pengelolaan Dana Bantuan Operasional Penyelenggara Pendidikan Anak Usia Dini, Bantuan Operasional Sekolah, dan Bantuan Operasional Penyelenggara Pendidikan Kesetaraan.</w:t>
      </w:r>
    </w:p>
    <w:p w:rsidR="00691F39" w:rsidRDefault="00691F39" w:rsidP="00691F39">
      <w:pPr>
        <w:spacing w:after="0" w:line="240" w:lineRule="auto"/>
        <w:ind w:firstLine="720"/>
        <w:rPr>
          <w:rFonts w:ascii="Arial" w:hAnsi="Arial" w:cs="Arial"/>
          <w:color w:val="000000"/>
          <w:sz w:val="24"/>
          <w:szCs w:val="24"/>
        </w:rPr>
      </w:pPr>
      <w:r w:rsidRPr="00691F39">
        <w:rPr>
          <w:rFonts w:ascii="Arial" w:hAnsi="Arial" w:cs="Arial"/>
          <w:color w:val="000000"/>
          <w:sz w:val="24"/>
          <w:szCs w:val="24"/>
          <w:shd w:val="clear" w:color="auto" w:fill="FFFFFF"/>
        </w:rPr>
        <w:t>Nadiem: Dana BOP PAUD dan Kesetaraan 2022 Bisa Bayar Guru Honorer dan TK</w:t>
      </w:r>
      <w:r>
        <w:rPr>
          <w:rFonts w:ascii="Arial" w:hAnsi="Arial" w:cs="Arial"/>
          <w:color w:val="000000"/>
          <w:sz w:val="24"/>
          <w:szCs w:val="24"/>
        </w:rPr>
        <w:t xml:space="preserve"> </w:t>
      </w:r>
      <w:r w:rsidRPr="00691F39">
        <w:rPr>
          <w:rFonts w:ascii="Arial" w:hAnsi="Arial" w:cs="Arial"/>
          <w:color w:val="000000"/>
          <w:sz w:val="24"/>
          <w:szCs w:val="24"/>
          <w:shd w:val="clear" w:color="auto" w:fill="FFFFFF"/>
        </w:rPr>
        <w:t>Berdasarkan aturan tersebut, penggunaan Dana BOS terdiri atas komponen Dana BOS Reguler dan Dana BOS Kinerja. Besaran alokasi Dana BOS Reguler dihitung berdasarkan besaran satuan biaya Dana BOS Reguler pada masing-masing daerah dikalikan dengan jumlah peserta didik.</w:t>
      </w:r>
    </w:p>
    <w:p w:rsidR="00691F39" w:rsidRDefault="00691F39" w:rsidP="00691F39">
      <w:pPr>
        <w:spacing w:after="0" w:line="240" w:lineRule="auto"/>
        <w:ind w:firstLine="720"/>
        <w:rPr>
          <w:rFonts w:ascii="Arial" w:hAnsi="Arial" w:cs="Arial"/>
          <w:color w:val="000000"/>
          <w:sz w:val="24"/>
          <w:szCs w:val="24"/>
        </w:rPr>
      </w:pPr>
      <w:r w:rsidRPr="00691F39">
        <w:rPr>
          <w:rFonts w:ascii="Arial" w:hAnsi="Arial" w:cs="Arial"/>
          <w:color w:val="000000"/>
          <w:sz w:val="24"/>
          <w:szCs w:val="24"/>
          <w:shd w:val="clear" w:color="auto" w:fill="FFFFFF"/>
        </w:rPr>
        <w:t>Sementara itu, untuk Dana BOS Kinerja, dialokasikan untuk sekolah penggerak dan sekolah berprestasi dengan besaran yang ditetapkan oleh Menteri. Berikut komponen yang dapat dibiayai dengan Dana BOS selengkapnya.</w:t>
      </w:r>
      <w:r w:rsidRPr="00691F39">
        <w:rPr>
          <w:rFonts w:ascii="Arial" w:hAnsi="Arial" w:cs="Arial"/>
          <w:color w:val="000000"/>
          <w:sz w:val="24"/>
          <w:szCs w:val="24"/>
        </w:rPr>
        <w:br/>
      </w:r>
      <w:r w:rsidRPr="00691F39">
        <w:rPr>
          <w:rFonts w:ascii="Arial" w:hAnsi="Arial" w:cs="Arial"/>
          <w:color w:val="000000"/>
          <w:sz w:val="24"/>
          <w:szCs w:val="24"/>
        </w:rPr>
        <w:br/>
      </w:r>
      <w:r w:rsidRPr="00691F39">
        <w:rPr>
          <w:rFonts w:ascii="Orbitron" w:hAnsi="Orbitron" w:cs="Arial"/>
          <w:color w:val="000000"/>
          <w:sz w:val="24"/>
          <w:szCs w:val="24"/>
          <w:shd w:val="clear" w:color="auto" w:fill="FFFFFF"/>
        </w:rPr>
        <w:t>12 Komponen Penggunaan Dana BOS Reguler</w:t>
      </w:r>
    </w:p>
    <w:p w:rsidR="00691F39" w:rsidRDefault="00691F39" w:rsidP="00691F39">
      <w:pPr>
        <w:spacing w:after="0" w:line="240" w:lineRule="auto"/>
        <w:ind w:firstLine="720"/>
        <w:rPr>
          <w:rFonts w:ascii="Arial" w:hAnsi="Arial" w:cs="Arial"/>
          <w:color w:val="000000"/>
          <w:sz w:val="24"/>
          <w:szCs w:val="24"/>
          <w:shd w:val="clear" w:color="auto" w:fill="FFFFFF"/>
        </w:rPr>
      </w:pPr>
      <w:r w:rsidRPr="00691F39">
        <w:rPr>
          <w:rFonts w:ascii="Arial" w:hAnsi="Arial" w:cs="Arial"/>
          <w:color w:val="000000"/>
          <w:sz w:val="24"/>
          <w:szCs w:val="24"/>
        </w:rPr>
        <w:br/>
      </w:r>
      <w:r w:rsidRPr="00691F39">
        <w:rPr>
          <w:rFonts w:ascii="Arial" w:hAnsi="Arial" w:cs="Arial"/>
          <w:color w:val="000000"/>
          <w:sz w:val="24"/>
          <w:szCs w:val="24"/>
          <w:shd w:val="clear" w:color="auto" w:fill="FFFFFF"/>
        </w:rPr>
        <w:t>Komponen yang dapat dibiayai dengan Dana BOS Reguler menurut Permendikbudristek Nomor 2 Tahun 2022 ini meliputi penerimaan peserta didik baru hingga pembayaran honor. Berikut selengkapnya:</w:t>
      </w:r>
      <w:r w:rsidRPr="00691F39">
        <w:rPr>
          <w:rFonts w:ascii="Arial" w:hAnsi="Arial" w:cs="Arial"/>
          <w:color w:val="000000"/>
          <w:sz w:val="24"/>
          <w:szCs w:val="24"/>
        </w:rPr>
        <w:br/>
      </w:r>
      <w:r w:rsidRPr="00691F39">
        <w:rPr>
          <w:rFonts w:ascii="Arial" w:hAnsi="Arial" w:cs="Arial"/>
          <w:color w:val="000000"/>
          <w:sz w:val="24"/>
          <w:szCs w:val="24"/>
        </w:rPr>
        <w:br/>
      </w:r>
      <w:r w:rsidRPr="00691F39">
        <w:rPr>
          <w:rFonts w:ascii="Arial" w:hAnsi="Arial" w:cs="Arial"/>
          <w:color w:val="000000"/>
          <w:sz w:val="24"/>
          <w:szCs w:val="24"/>
          <w:shd w:val="clear" w:color="auto" w:fill="FFFFFF"/>
        </w:rPr>
        <w:t>1. Penerimaan Peserta Didik baru.</w:t>
      </w:r>
      <w:r w:rsidRPr="00691F39">
        <w:rPr>
          <w:rFonts w:ascii="Arial" w:hAnsi="Arial" w:cs="Arial"/>
          <w:color w:val="000000"/>
          <w:sz w:val="24"/>
          <w:szCs w:val="24"/>
        </w:rPr>
        <w:br/>
      </w:r>
      <w:r w:rsidRPr="00691F39">
        <w:rPr>
          <w:rFonts w:ascii="Arial" w:hAnsi="Arial" w:cs="Arial"/>
          <w:color w:val="000000"/>
          <w:sz w:val="24"/>
          <w:szCs w:val="24"/>
          <w:shd w:val="clear" w:color="auto" w:fill="FFFFFF"/>
        </w:rPr>
        <w:t>2. Pengembangan perpustakaan.</w:t>
      </w:r>
      <w:r w:rsidRPr="00691F39">
        <w:rPr>
          <w:rFonts w:ascii="Arial" w:hAnsi="Arial" w:cs="Arial"/>
          <w:color w:val="000000"/>
          <w:sz w:val="24"/>
          <w:szCs w:val="24"/>
        </w:rPr>
        <w:br/>
      </w:r>
      <w:r w:rsidRPr="00691F39">
        <w:rPr>
          <w:rFonts w:ascii="Arial" w:hAnsi="Arial" w:cs="Arial"/>
          <w:color w:val="000000"/>
          <w:sz w:val="24"/>
          <w:szCs w:val="24"/>
          <w:shd w:val="clear" w:color="auto" w:fill="FFFFFF"/>
        </w:rPr>
        <w:t>3. Pelaksanaan kegiatan pembelajaran dan ekstrakurikuler.</w:t>
      </w:r>
      <w:r w:rsidRPr="00691F39">
        <w:rPr>
          <w:rFonts w:ascii="Arial" w:hAnsi="Arial" w:cs="Arial"/>
          <w:color w:val="000000"/>
          <w:sz w:val="24"/>
          <w:szCs w:val="24"/>
        </w:rPr>
        <w:br/>
      </w:r>
      <w:r w:rsidRPr="00691F39">
        <w:rPr>
          <w:rFonts w:ascii="Arial" w:hAnsi="Arial" w:cs="Arial"/>
          <w:color w:val="000000"/>
          <w:sz w:val="24"/>
          <w:szCs w:val="24"/>
          <w:shd w:val="clear" w:color="auto" w:fill="FFFFFF"/>
        </w:rPr>
        <w:t>4. Pelaksanaan kegiatan asesmen dan evaluasi pembelajaran.</w:t>
      </w:r>
      <w:r w:rsidRPr="00691F39">
        <w:rPr>
          <w:rFonts w:ascii="Arial" w:hAnsi="Arial" w:cs="Arial"/>
          <w:color w:val="000000"/>
          <w:sz w:val="24"/>
          <w:szCs w:val="24"/>
        </w:rPr>
        <w:br/>
      </w:r>
      <w:r w:rsidRPr="00691F39">
        <w:rPr>
          <w:rFonts w:ascii="Arial" w:hAnsi="Arial" w:cs="Arial"/>
          <w:color w:val="000000"/>
          <w:sz w:val="24"/>
          <w:szCs w:val="24"/>
          <w:shd w:val="clear" w:color="auto" w:fill="FFFFFF"/>
        </w:rPr>
        <w:t>5. Pelaksanaan administrasi kegiatan sekolah.</w:t>
      </w:r>
      <w:r w:rsidRPr="00691F39">
        <w:rPr>
          <w:rFonts w:ascii="Arial" w:hAnsi="Arial" w:cs="Arial"/>
          <w:color w:val="000000"/>
          <w:sz w:val="24"/>
          <w:szCs w:val="24"/>
        </w:rPr>
        <w:br/>
      </w:r>
      <w:r w:rsidRPr="00691F39">
        <w:rPr>
          <w:rFonts w:ascii="Arial" w:hAnsi="Arial" w:cs="Arial"/>
          <w:color w:val="000000"/>
          <w:sz w:val="24"/>
          <w:szCs w:val="24"/>
          <w:shd w:val="clear" w:color="auto" w:fill="FFFFFF"/>
        </w:rPr>
        <w:t>6. Pengembangan profesi guru dan tenaga kependidikan.</w:t>
      </w:r>
      <w:r w:rsidRPr="00691F39">
        <w:rPr>
          <w:rFonts w:ascii="Arial" w:hAnsi="Arial" w:cs="Arial"/>
          <w:color w:val="000000"/>
          <w:sz w:val="24"/>
          <w:szCs w:val="24"/>
        </w:rPr>
        <w:br/>
      </w:r>
      <w:r w:rsidRPr="00691F39">
        <w:rPr>
          <w:rFonts w:ascii="Arial" w:hAnsi="Arial" w:cs="Arial"/>
          <w:color w:val="000000"/>
          <w:sz w:val="24"/>
          <w:szCs w:val="24"/>
          <w:shd w:val="clear" w:color="auto" w:fill="FFFFFF"/>
        </w:rPr>
        <w:t>7. Pembiayaan langganan daya dan jasa.</w:t>
      </w:r>
      <w:r w:rsidRPr="00691F39">
        <w:rPr>
          <w:rFonts w:ascii="Arial" w:hAnsi="Arial" w:cs="Arial"/>
          <w:color w:val="000000"/>
          <w:sz w:val="24"/>
          <w:szCs w:val="24"/>
        </w:rPr>
        <w:br/>
      </w:r>
      <w:r w:rsidRPr="00691F39">
        <w:rPr>
          <w:rFonts w:ascii="Arial" w:hAnsi="Arial" w:cs="Arial"/>
          <w:color w:val="000000"/>
          <w:sz w:val="24"/>
          <w:szCs w:val="24"/>
          <w:shd w:val="clear" w:color="auto" w:fill="FFFFFF"/>
        </w:rPr>
        <w:t>8. Pemeliharaan sarana dan prasarana sekolah.</w:t>
      </w:r>
      <w:r w:rsidRPr="00691F39">
        <w:rPr>
          <w:rFonts w:ascii="Arial" w:hAnsi="Arial" w:cs="Arial"/>
          <w:color w:val="000000"/>
          <w:sz w:val="24"/>
          <w:szCs w:val="24"/>
        </w:rPr>
        <w:br/>
      </w:r>
      <w:r w:rsidRPr="00691F39">
        <w:rPr>
          <w:rFonts w:ascii="Arial" w:hAnsi="Arial" w:cs="Arial"/>
          <w:color w:val="000000"/>
          <w:sz w:val="24"/>
          <w:szCs w:val="24"/>
          <w:shd w:val="clear" w:color="auto" w:fill="FFFFFF"/>
        </w:rPr>
        <w:t>9. Penyediaan alat multimedia pembelajaran.</w:t>
      </w:r>
      <w:r w:rsidRPr="00691F39">
        <w:rPr>
          <w:rFonts w:ascii="Arial" w:hAnsi="Arial" w:cs="Arial"/>
          <w:color w:val="000000"/>
          <w:sz w:val="24"/>
          <w:szCs w:val="24"/>
        </w:rPr>
        <w:br/>
      </w:r>
      <w:r w:rsidRPr="00691F39">
        <w:rPr>
          <w:rFonts w:ascii="Arial" w:hAnsi="Arial" w:cs="Arial"/>
          <w:color w:val="000000"/>
          <w:sz w:val="24"/>
          <w:szCs w:val="24"/>
          <w:shd w:val="clear" w:color="auto" w:fill="FFFFFF"/>
        </w:rPr>
        <w:t>10. Penyelenggaraan kegiatan peningkatan kompetensi keahlian.</w:t>
      </w:r>
      <w:r w:rsidRPr="00691F39">
        <w:rPr>
          <w:rFonts w:ascii="Arial" w:hAnsi="Arial" w:cs="Arial"/>
          <w:color w:val="000000"/>
          <w:sz w:val="24"/>
          <w:szCs w:val="24"/>
        </w:rPr>
        <w:br/>
      </w:r>
      <w:r w:rsidRPr="00691F39">
        <w:rPr>
          <w:rFonts w:ascii="Arial" w:hAnsi="Arial" w:cs="Arial"/>
          <w:color w:val="000000"/>
          <w:sz w:val="24"/>
          <w:szCs w:val="24"/>
          <w:shd w:val="clear" w:color="auto" w:fill="FFFFFF"/>
        </w:rPr>
        <w:t>11. Penyelenggaraan kegiatan dalam mendukung keterserapan lulusan.</w:t>
      </w:r>
      <w:r w:rsidRPr="00691F39">
        <w:rPr>
          <w:rFonts w:ascii="Arial" w:hAnsi="Arial" w:cs="Arial"/>
          <w:color w:val="000000"/>
          <w:sz w:val="24"/>
          <w:szCs w:val="24"/>
        </w:rPr>
        <w:br/>
      </w:r>
      <w:r w:rsidRPr="00691F39">
        <w:rPr>
          <w:rFonts w:ascii="Arial" w:hAnsi="Arial" w:cs="Arial"/>
          <w:color w:val="000000"/>
          <w:sz w:val="24"/>
          <w:szCs w:val="24"/>
          <w:shd w:val="clear" w:color="auto" w:fill="FFFFFF"/>
        </w:rPr>
        <w:t>12. Pembayaran honor.</w:t>
      </w:r>
    </w:p>
    <w:p w:rsidR="00691F39" w:rsidRDefault="00691F39" w:rsidP="00691F39">
      <w:pPr>
        <w:spacing w:after="0" w:line="240" w:lineRule="auto"/>
        <w:ind w:firstLine="720"/>
        <w:rPr>
          <w:rFonts w:ascii="Arial" w:hAnsi="Arial" w:cs="Arial"/>
          <w:color w:val="000000"/>
          <w:sz w:val="24"/>
          <w:szCs w:val="24"/>
        </w:rPr>
      </w:pPr>
    </w:p>
    <w:p w:rsidR="00691F39" w:rsidRDefault="00691F39" w:rsidP="00691F39">
      <w:pPr>
        <w:spacing w:after="0" w:line="240" w:lineRule="auto"/>
        <w:ind w:firstLine="720"/>
        <w:rPr>
          <w:rFonts w:ascii="Arial" w:hAnsi="Arial" w:cs="Arial"/>
          <w:color w:val="000000"/>
          <w:sz w:val="24"/>
          <w:szCs w:val="24"/>
        </w:rPr>
      </w:pPr>
      <w:r w:rsidRPr="00691F39">
        <w:rPr>
          <w:rFonts w:ascii="Arial" w:hAnsi="Arial" w:cs="Arial"/>
          <w:color w:val="000000"/>
          <w:sz w:val="24"/>
          <w:szCs w:val="24"/>
          <w:shd w:val="clear" w:color="auto" w:fill="FFFFFF"/>
        </w:rPr>
        <w:t>Dana BOS Reguler yang digunakan untuk keperluan pembayaran honor ditetapkan sebesar maksimal 50 persen dari keseluruhan jumlah alokasi dana BOS Reguler yang diterima oleh sekolah.</w:t>
      </w:r>
    </w:p>
    <w:p w:rsidR="00691F39" w:rsidRDefault="00691F39" w:rsidP="00691F39">
      <w:pPr>
        <w:spacing w:after="0" w:line="240" w:lineRule="auto"/>
        <w:ind w:firstLine="720"/>
        <w:rPr>
          <w:rFonts w:ascii="Arial" w:hAnsi="Arial" w:cs="Arial"/>
          <w:color w:val="000000"/>
          <w:sz w:val="24"/>
          <w:szCs w:val="24"/>
          <w:shd w:val="clear" w:color="auto" w:fill="FFFFFF"/>
        </w:rPr>
      </w:pPr>
      <w:r w:rsidRPr="00691F39">
        <w:rPr>
          <w:rFonts w:ascii="Arial" w:hAnsi="Arial" w:cs="Arial"/>
          <w:color w:val="000000"/>
          <w:sz w:val="24"/>
          <w:szCs w:val="24"/>
          <w:shd w:val="clear" w:color="auto" w:fill="FFFFFF"/>
        </w:rPr>
        <w:t>Adapun, dana ini dibayarkan kepada guru yang berstatus bukan aparatur sipil negara, tercatat pada Dapodik, memiliki nomor unik pendidikan dan tenaga kependidikan, dan belum mendapatkan tunjangan profesi guru.</w:t>
      </w:r>
      <w:r w:rsidRPr="00691F39">
        <w:rPr>
          <w:rFonts w:ascii="Arial" w:hAnsi="Arial" w:cs="Arial"/>
          <w:color w:val="000000"/>
          <w:sz w:val="24"/>
          <w:szCs w:val="24"/>
        </w:rPr>
        <w:br/>
      </w:r>
      <w:r w:rsidRPr="00691F39">
        <w:rPr>
          <w:rFonts w:ascii="Arial" w:hAnsi="Arial" w:cs="Arial"/>
          <w:color w:val="000000"/>
          <w:sz w:val="24"/>
          <w:szCs w:val="24"/>
        </w:rPr>
        <w:br/>
      </w:r>
      <w:r w:rsidRPr="00691F39">
        <w:rPr>
          <w:rFonts w:ascii="Orbitron" w:hAnsi="Orbitron" w:cs="Arial"/>
          <w:color w:val="FF0000"/>
          <w:shd w:val="clear" w:color="auto" w:fill="FFFFFF"/>
        </w:rPr>
        <w:t>12 Komponen yang Dapat Dibiayai Dana BOS Reguler, Sekolah Wajib Tahu!</w:t>
      </w:r>
      <w:r w:rsidRPr="00691F39">
        <w:rPr>
          <w:rFonts w:ascii="Arial" w:hAnsi="Arial" w:cs="Arial"/>
          <w:color w:val="000000"/>
        </w:rPr>
        <w:br/>
      </w:r>
      <w:r w:rsidRPr="00691F39">
        <w:rPr>
          <w:rFonts w:ascii="Arial" w:hAnsi="Arial" w:cs="Arial"/>
          <w:color w:val="000000"/>
          <w:sz w:val="24"/>
          <w:szCs w:val="24"/>
          <w:shd w:val="clear" w:color="auto" w:fill="FFFFFF"/>
        </w:rPr>
        <w:lastRenderedPageBreak/>
        <w:t>8 Komponen Penggunaan Dana BOS Kinerja</w:t>
      </w:r>
      <w:r w:rsidRPr="00691F39">
        <w:rPr>
          <w:rFonts w:ascii="Arial" w:hAnsi="Arial" w:cs="Arial"/>
          <w:color w:val="000000"/>
          <w:sz w:val="24"/>
          <w:szCs w:val="24"/>
        </w:rPr>
        <w:br/>
      </w:r>
      <w:r w:rsidRPr="00691F39">
        <w:rPr>
          <w:rFonts w:ascii="Arial" w:hAnsi="Arial" w:cs="Arial"/>
          <w:color w:val="000000"/>
          <w:sz w:val="24"/>
          <w:szCs w:val="24"/>
          <w:shd w:val="clear" w:color="auto" w:fill="FFFFFF"/>
        </w:rPr>
        <w:t>Dana BOS Kinerja dapat digunakan pada sekolah penggerak dan sekolah berprestasi. Komponen yang dapat dibiayai pada sekolah penggerak meliputi:</w:t>
      </w:r>
      <w:r w:rsidRPr="00691F39">
        <w:rPr>
          <w:rFonts w:ascii="Arial" w:hAnsi="Arial" w:cs="Arial"/>
          <w:color w:val="000000"/>
          <w:sz w:val="24"/>
          <w:szCs w:val="24"/>
        </w:rPr>
        <w:br/>
      </w:r>
      <w:r w:rsidRPr="00691F39">
        <w:rPr>
          <w:rFonts w:ascii="Arial" w:hAnsi="Arial" w:cs="Arial"/>
          <w:color w:val="000000"/>
          <w:sz w:val="24"/>
          <w:szCs w:val="24"/>
        </w:rPr>
        <w:br/>
      </w:r>
      <w:r w:rsidRPr="00691F39">
        <w:rPr>
          <w:rFonts w:ascii="Arial" w:hAnsi="Arial" w:cs="Arial"/>
          <w:color w:val="000000"/>
          <w:sz w:val="24"/>
          <w:szCs w:val="24"/>
          <w:shd w:val="clear" w:color="auto" w:fill="FFFFFF"/>
        </w:rPr>
        <w:t>1. Pengembangan sumber daya manusia.</w:t>
      </w:r>
      <w:r w:rsidRPr="00691F39">
        <w:rPr>
          <w:rFonts w:ascii="Arial" w:hAnsi="Arial" w:cs="Arial"/>
          <w:color w:val="000000"/>
          <w:sz w:val="24"/>
          <w:szCs w:val="24"/>
        </w:rPr>
        <w:br/>
      </w:r>
      <w:r w:rsidRPr="00691F39">
        <w:rPr>
          <w:rFonts w:ascii="Arial" w:hAnsi="Arial" w:cs="Arial"/>
          <w:color w:val="000000"/>
          <w:sz w:val="24"/>
          <w:szCs w:val="24"/>
          <w:shd w:val="clear" w:color="auto" w:fill="FFFFFF"/>
        </w:rPr>
        <w:t>2. Pembelajaran dengan paradigma baru.</w:t>
      </w:r>
      <w:r w:rsidRPr="00691F39">
        <w:rPr>
          <w:rFonts w:ascii="Arial" w:hAnsi="Arial" w:cs="Arial"/>
          <w:color w:val="000000"/>
          <w:sz w:val="24"/>
          <w:szCs w:val="24"/>
        </w:rPr>
        <w:br/>
      </w:r>
      <w:r w:rsidRPr="00691F39">
        <w:rPr>
          <w:rFonts w:ascii="Arial" w:hAnsi="Arial" w:cs="Arial"/>
          <w:color w:val="000000"/>
          <w:sz w:val="24"/>
          <w:szCs w:val="24"/>
          <w:shd w:val="clear" w:color="auto" w:fill="FFFFFF"/>
        </w:rPr>
        <w:t>3. Digitalisasi sekolah.</w:t>
      </w:r>
      <w:r w:rsidRPr="00691F39">
        <w:rPr>
          <w:rFonts w:ascii="Arial" w:hAnsi="Arial" w:cs="Arial"/>
          <w:color w:val="000000"/>
          <w:sz w:val="24"/>
          <w:szCs w:val="24"/>
        </w:rPr>
        <w:br/>
      </w:r>
      <w:r w:rsidRPr="00691F39">
        <w:rPr>
          <w:rFonts w:ascii="Arial" w:hAnsi="Arial" w:cs="Arial"/>
          <w:color w:val="000000"/>
          <w:sz w:val="24"/>
          <w:szCs w:val="24"/>
          <w:shd w:val="clear" w:color="auto" w:fill="FFFFFF"/>
        </w:rPr>
        <w:t>4. Perencanaan berbasis data.</w:t>
      </w:r>
    </w:p>
    <w:p w:rsidR="00BA17AE" w:rsidRPr="00691F39" w:rsidRDefault="00691F39" w:rsidP="00691F39">
      <w:pPr>
        <w:spacing w:after="0" w:line="240" w:lineRule="auto"/>
        <w:ind w:firstLine="720"/>
        <w:rPr>
          <w:sz w:val="24"/>
          <w:szCs w:val="24"/>
        </w:rPr>
      </w:pPr>
      <w:r w:rsidRPr="00691F39">
        <w:rPr>
          <w:rFonts w:ascii="Arial" w:hAnsi="Arial" w:cs="Arial"/>
          <w:color w:val="000000"/>
          <w:sz w:val="24"/>
          <w:szCs w:val="24"/>
        </w:rPr>
        <w:br/>
      </w:r>
      <w:r w:rsidRPr="00691F39">
        <w:rPr>
          <w:rFonts w:ascii="Arial" w:hAnsi="Arial" w:cs="Arial"/>
          <w:color w:val="000000"/>
          <w:sz w:val="24"/>
          <w:szCs w:val="24"/>
          <w:shd w:val="clear" w:color="auto" w:fill="FFFFFF"/>
        </w:rPr>
        <w:t>Sedangkan, komponen yang dapat dibiayai pada sekolah berprestasi terdiri dari:</w:t>
      </w:r>
      <w:r w:rsidRPr="00691F39">
        <w:rPr>
          <w:rFonts w:ascii="Arial" w:hAnsi="Arial" w:cs="Arial"/>
          <w:color w:val="000000"/>
          <w:sz w:val="24"/>
          <w:szCs w:val="24"/>
        </w:rPr>
        <w:br/>
      </w:r>
      <w:r w:rsidRPr="00691F39">
        <w:rPr>
          <w:rFonts w:ascii="Arial" w:hAnsi="Arial" w:cs="Arial"/>
          <w:color w:val="000000"/>
          <w:sz w:val="24"/>
          <w:szCs w:val="24"/>
        </w:rPr>
        <w:br/>
      </w:r>
      <w:r w:rsidRPr="00691F39">
        <w:rPr>
          <w:rFonts w:ascii="Arial" w:hAnsi="Arial" w:cs="Arial"/>
          <w:color w:val="000000"/>
          <w:sz w:val="24"/>
          <w:szCs w:val="24"/>
          <w:shd w:val="clear" w:color="auto" w:fill="FFFFFF"/>
        </w:rPr>
        <w:t>1. Asesmen talenta dan kebugaran.</w:t>
      </w:r>
      <w:r w:rsidRPr="00691F39">
        <w:rPr>
          <w:rFonts w:ascii="Arial" w:hAnsi="Arial" w:cs="Arial"/>
          <w:color w:val="000000"/>
          <w:sz w:val="24"/>
          <w:szCs w:val="24"/>
        </w:rPr>
        <w:br/>
      </w:r>
      <w:r w:rsidRPr="00691F39">
        <w:rPr>
          <w:rFonts w:ascii="Arial" w:hAnsi="Arial" w:cs="Arial"/>
          <w:color w:val="000000"/>
          <w:sz w:val="24"/>
          <w:szCs w:val="24"/>
          <w:shd w:val="clear" w:color="auto" w:fill="FFFFFF"/>
        </w:rPr>
        <w:t>2. Pelatihan dan pengembangan prestasi.</w:t>
      </w:r>
      <w:r w:rsidRPr="00691F39">
        <w:rPr>
          <w:rFonts w:ascii="Arial" w:hAnsi="Arial" w:cs="Arial"/>
          <w:color w:val="000000"/>
          <w:sz w:val="24"/>
          <w:szCs w:val="24"/>
        </w:rPr>
        <w:br/>
      </w:r>
      <w:r w:rsidRPr="00691F39">
        <w:rPr>
          <w:rFonts w:ascii="Arial" w:hAnsi="Arial" w:cs="Arial"/>
          <w:color w:val="000000"/>
          <w:sz w:val="24"/>
          <w:szCs w:val="24"/>
          <w:shd w:val="clear" w:color="auto" w:fill="FFFFFF"/>
        </w:rPr>
        <w:t>3. Pengelolaan data dan informasi talenta.</w:t>
      </w:r>
      <w:r w:rsidRPr="00691F39">
        <w:rPr>
          <w:rFonts w:ascii="Arial" w:hAnsi="Arial" w:cs="Arial"/>
          <w:color w:val="000000"/>
          <w:sz w:val="24"/>
          <w:szCs w:val="24"/>
        </w:rPr>
        <w:br/>
      </w:r>
      <w:r w:rsidRPr="00691F39">
        <w:rPr>
          <w:rFonts w:ascii="Arial" w:hAnsi="Arial" w:cs="Arial"/>
          <w:color w:val="000000"/>
          <w:sz w:val="24"/>
          <w:szCs w:val="24"/>
          <w:shd w:val="clear" w:color="auto" w:fill="FFFFFF"/>
        </w:rPr>
        <w:t>4. Kegiatan aktualisasi prestasi.</w:t>
      </w:r>
      <w:r w:rsidRPr="00691F39">
        <w:rPr>
          <w:rFonts w:ascii="Arial" w:hAnsi="Arial" w:cs="Arial"/>
          <w:color w:val="000000"/>
          <w:sz w:val="24"/>
          <w:szCs w:val="24"/>
        </w:rPr>
        <w:br/>
      </w:r>
      <w:r w:rsidRPr="00691F39">
        <w:rPr>
          <w:rFonts w:ascii="Arial" w:hAnsi="Arial" w:cs="Arial"/>
          <w:color w:val="000000"/>
          <w:sz w:val="24"/>
          <w:szCs w:val="24"/>
        </w:rPr>
        <w:br/>
      </w:r>
      <w:r w:rsidRPr="00691F39">
        <w:rPr>
          <w:rFonts w:ascii="Arial" w:hAnsi="Arial" w:cs="Arial"/>
          <w:color w:val="000000"/>
          <w:sz w:val="24"/>
          <w:szCs w:val="24"/>
          <w:shd w:val="clear" w:color="auto" w:fill="FFFFFF"/>
        </w:rPr>
        <w:t>Kepala sekolah penerima Dana BOS harus menyampaikan laporan realisasi penggunaan Dana BOS melalui sistem aplikasi rencana kegiatan dan anggaran satuan pendidikan yang disediakan oleh kementerian. Laporan dilaksanakan dalam dua tahap di bulan Juli dan Oktober.</w:t>
      </w:r>
      <w:r w:rsidRPr="00691F39">
        <w:rPr>
          <w:rFonts w:ascii="Arial" w:hAnsi="Arial" w:cs="Arial"/>
          <w:color w:val="000000"/>
          <w:sz w:val="24"/>
          <w:szCs w:val="24"/>
        </w:rPr>
        <w:br/>
      </w:r>
      <w:r w:rsidRPr="00691F39">
        <w:rPr>
          <w:rFonts w:ascii="Arial" w:hAnsi="Arial" w:cs="Arial"/>
          <w:color w:val="000000"/>
          <w:sz w:val="24"/>
          <w:szCs w:val="24"/>
        </w:rPr>
        <w:br/>
      </w:r>
      <w:r w:rsidRPr="00691F39">
        <w:rPr>
          <w:rFonts w:ascii="Arial" w:hAnsi="Arial" w:cs="Arial"/>
          <w:color w:val="000000"/>
          <w:sz w:val="24"/>
          <w:szCs w:val="24"/>
          <w:shd w:val="clear" w:color="auto" w:fill="FFFFFF"/>
        </w:rPr>
        <w:t>.</w:t>
      </w:r>
      <w:r w:rsidRPr="00691F39">
        <w:rPr>
          <w:rFonts w:ascii="Arial" w:hAnsi="Arial" w:cs="Arial"/>
          <w:color w:val="000000"/>
          <w:sz w:val="24"/>
          <w:szCs w:val="24"/>
        </w:rPr>
        <w:br/>
      </w:r>
      <w:r w:rsidRPr="00691F39">
        <w:rPr>
          <w:rFonts w:ascii="Arial" w:hAnsi="Arial" w:cs="Arial"/>
          <w:color w:val="000000"/>
          <w:sz w:val="24"/>
          <w:szCs w:val="24"/>
        </w:rPr>
        <w:br/>
      </w:r>
      <w:bookmarkStart w:id="0" w:name="_GoBack"/>
      <w:bookmarkEnd w:id="0"/>
    </w:p>
    <w:sectPr w:rsidR="00BA17AE" w:rsidRPr="00691F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bitron">
    <w:panose1 w:val="02000000000000000000"/>
    <w:charset w:val="00"/>
    <w:family w:val="auto"/>
    <w:pitch w:val="variable"/>
    <w:sig w:usb0="80000027" w:usb1="1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39"/>
    <w:rsid w:val="00691F39"/>
    <w:rsid w:val="00BA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1F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1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2023-11-17T01:52:00Z</dcterms:created>
  <dcterms:modified xsi:type="dcterms:W3CDTF">2023-11-17T01:56:00Z</dcterms:modified>
</cp:coreProperties>
</file>